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6D5E" w14:textId="77777777" w:rsidR="00374AE6" w:rsidRDefault="00374AE6">
      <w:pPr>
        <w:rPr>
          <w:sz w:val="12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4214CD" w:rsidRPr="004214CD" w14:paraId="331411EC" w14:textId="77777777" w:rsidTr="006522DE">
        <w:tc>
          <w:tcPr>
            <w:tcW w:w="11340" w:type="dxa"/>
            <w:shd w:val="clear" w:color="auto" w:fill="09332C" w:themeFill="accent1"/>
          </w:tcPr>
          <w:p w14:paraId="7B3172F5" w14:textId="77777777" w:rsidR="004214CD" w:rsidRPr="00F33C1A" w:rsidRDefault="004214CD" w:rsidP="004214CD">
            <w:pPr>
              <w:rPr>
                <w:rFonts w:ascii="Gill Sans Nova" w:hAnsi="Gill Sans Nova"/>
                <w:b/>
                <w:color w:val="F8EDDB" w:themeColor="accent6"/>
                <w:sz w:val="40"/>
              </w:rPr>
            </w:pPr>
            <w:r w:rsidRPr="004214CD">
              <w:rPr>
                <w:rFonts w:ascii="Gill Sans Nova" w:hAnsi="Gill Sans Nova"/>
                <w:b/>
                <w:color w:val="FFFFFF"/>
                <w:sz w:val="40"/>
              </w:rPr>
              <w:tab/>
            </w:r>
            <w:r w:rsidRPr="00F33C1A">
              <w:rPr>
                <w:rFonts w:ascii="Gill Sans Nova" w:hAnsi="Gill Sans Nova"/>
                <w:b/>
                <w:color w:val="F8EDDB" w:themeColor="accent6"/>
                <w:sz w:val="36"/>
                <w:szCs w:val="20"/>
              </w:rPr>
              <w:t>Firm</w:t>
            </w:r>
            <w:r w:rsidRPr="00F33C1A">
              <w:rPr>
                <w:rFonts w:ascii="Gill Sans Nova" w:hAnsi="Gill Sans Nova"/>
                <w:b/>
                <w:color w:val="F8EDDB" w:themeColor="accent6"/>
                <w:spacing w:val="-15"/>
                <w:sz w:val="36"/>
                <w:szCs w:val="20"/>
              </w:rPr>
              <w:t xml:space="preserve"> </w:t>
            </w:r>
            <w:r w:rsidRPr="00F33C1A">
              <w:rPr>
                <w:rFonts w:ascii="Gill Sans Nova" w:hAnsi="Gill Sans Nova"/>
                <w:b/>
                <w:color w:val="F8EDDB" w:themeColor="accent6"/>
                <w:sz w:val="36"/>
                <w:szCs w:val="20"/>
              </w:rPr>
              <w:t>Element</w:t>
            </w:r>
            <w:r w:rsidRPr="00F33C1A">
              <w:rPr>
                <w:rFonts w:ascii="Gill Sans Nova" w:hAnsi="Gill Sans Nova"/>
                <w:b/>
                <w:color w:val="F8EDDB" w:themeColor="accent6"/>
                <w:spacing w:val="-16"/>
                <w:sz w:val="36"/>
                <w:szCs w:val="20"/>
              </w:rPr>
              <w:t xml:space="preserve"> </w:t>
            </w:r>
            <w:r w:rsidRPr="00F33C1A">
              <w:rPr>
                <w:rFonts w:ascii="Gill Sans Nova" w:hAnsi="Gill Sans Nova"/>
                <w:b/>
                <w:color w:val="F8EDDB" w:themeColor="accent6"/>
                <w:sz w:val="36"/>
                <w:szCs w:val="20"/>
              </w:rPr>
              <w:t>Training</w:t>
            </w:r>
            <w:r w:rsidRPr="00F33C1A">
              <w:rPr>
                <w:rFonts w:ascii="Gill Sans Nova" w:hAnsi="Gill Sans Nova"/>
                <w:b/>
                <w:color w:val="F8EDDB" w:themeColor="accent6"/>
                <w:spacing w:val="-17"/>
                <w:sz w:val="36"/>
                <w:szCs w:val="20"/>
              </w:rPr>
              <w:t xml:space="preserve"> </w:t>
            </w:r>
            <w:r w:rsidRPr="00F33C1A">
              <w:rPr>
                <w:rFonts w:ascii="Gill Sans Nova" w:hAnsi="Gill Sans Nova"/>
                <w:b/>
                <w:color w:val="F8EDDB" w:themeColor="accent6"/>
                <w:sz w:val="44"/>
                <w:szCs w:val="20"/>
              </w:rPr>
              <w:t>—</w:t>
            </w:r>
            <w:r w:rsidRPr="00F33C1A">
              <w:rPr>
                <w:rFonts w:ascii="Gill Sans Nova" w:hAnsi="Gill Sans Nova"/>
                <w:b/>
                <w:color w:val="F8EDDB" w:themeColor="accent6"/>
                <w:spacing w:val="-31"/>
                <w:sz w:val="44"/>
                <w:szCs w:val="20"/>
              </w:rPr>
              <w:t xml:space="preserve"> </w:t>
            </w:r>
            <w:r w:rsidRPr="00F33C1A">
              <w:rPr>
                <w:rFonts w:ascii="Gill Sans Nova" w:hAnsi="Gill Sans Nova"/>
                <w:b/>
                <w:color w:val="F8EDDB" w:themeColor="accent6"/>
                <w:sz w:val="36"/>
                <w:szCs w:val="20"/>
              </w:rPr>
              <w:t>Needs</w:t>
            </w:r>
            <w:r w:rsidRPr="00F33C1A">
              <w:rPr>
                <w:rFonts w:ascii="Gill Sans Nova" w:hAnsi="Gill Sans Nova"/>
                <w:b/>
                <w:color w:val="F8EDDB" w:themeColor="accent6"/>
                <w:spacing w:val="-15"/>
                <w:sz w:val="36"/>
                <w:szCs w:val="20"/>
              </w:rPr>
              <w:t xml:space="preserve"> </w:t>
            </w:r>
            <w:r w:rsidRPr="00F33C1A">
              <w:rPr>
                <w:rFonts w:ascii="Gill Sans Nova" w:hAnsi="Gill Sans Nova"/>
                <w:b/>
                <w:color w:val="F8EDDB" w:themeColor="accent6"/>
                <w:sz w:val="36"/>
                <w:szCs w:val="20"/>
              </w:rPr>
              <w:t>Analysis</w:t>
            </w:r>
            <w:r w:rsidRPr="00F33C1A">
              <w:rPr>
                <w:rFonts w:ascii="Gill Sans Nova" w:hAnsi="Gill Sans Nova"/>
                <w:b/>
                <w:color w:val="F8EDDB" w:themeColor="accent6"/>
                <w:spacing w:val="-15"/>
                <w:sz w:val="36"/>
                <w:szCs w:val="20"/>
              </w:rPr>
              <w:t xml:space="preserve"> </w:t>
            </w:r>
            <w:r w:rsidRPr="00F33C1A">
              <w:rPr>
                <w:rFonts w:ascii="Gill Sans Nova" w:hAnsi="Gill Sans Nova"/>
                <w:b/>
                <w:color w:val="F8EDDB" w:themeColor="accent6"/>
                <w:spacing w:val="-3"/>
                <w:sz w:val="36"/>
                <w:szCs w:val="20"/>
              </w:rPr>
              <w:t>Template</w:t>
            </w:r>
            <w:r w:rsidRPr="00F33C1A">
              <w:rPr>
                <w:rFonts w:ascii="Gill Sans Nova" w:hAnsi="Gill Sans Nova"/>
                <w:b/>
                <w:color w:val="F8EDDB" w:themeColor="accent6"/>
                <w:spacing w:val="-3"/>
                <w:sz w:val="40"/>
              </w:rPr>
              <w:tab/>
            </w:r>
          </w:p>
        </w:tc>
      </w:tr>
      <w:tr w:rsidR="004214CD" w:rsidRPr="004214CD" w14:paraId="3C983EAA" w14:textId="77777777" w:rsidTr="006522DE">
        <w:tc>
          <w:tcPr>
            <w:tcW w:w="11340" w:type="dxa"/>
          </w:tcPr>
          <w:p w14:paraId="24005A63" w14:textId="77777777" w:rsidR="004214CD" w:rsidRPr="004214CD" w:rsidRDefault="004214CD" w:rsidP="004214CD">
            <w:pPr>
              <w:pStyle w:val="BodyText"/>
              <w:spacing w:line="247" w:lineRule="auto"/>
              <w:jc w:val="both"/>
              <w:rPr>
                <w:rFonts w:ascii="Gill Sans Nova" w:hAnsi="Gill Sans Nova"/>
              </w:rPr>
            </w:pPr>
            <w:r w:rsidRPr="004214CD">
              <w:rPr>
                <w:rFonts w:ascii="Gill Sans Nova" w:hAnsi="Gill Sans Nova"/>
              </w:rPr>
              <w:t>The</w:t>
            </w:r>
            <w:r w:rsidRPr="004214CD">
              <w:rPr>
                <w:rFonts w:ascii="Gill Sans Nova" w:hAnsi="Gill Sans Nova"/>
                <w:spacing w:val="-14"/>
              </w:rPr>
              <w:t xml:space="preserve"> </w:t>
            </w:r>
            <w:r w:rsidRPr="004214CD">
              <w:rPr>
                <w:rFonts w:ascii="Gill Sans Nova" w:hAnsi="Gill Sans Nova"/>
              </w:rPr>
              <w:t>self-regulatory</w:t>
            </w:r>
            <w:r w:rsidRPr="004214CD">
              <w:rPr>
                <w:rFonts w:ascii="Gill Sans Nova" w:hAnsi="Gill Sans Nova"/>
                <w:spacing w:val="-15"/>
              </w:rPr>
              <w:t xml:space="preserve"> </w:t>
            </w:r>
            <w:r w:rsidRPr="004214CD">
              <w:rPr>
                <w:rFonts w:ascii="Gill Sans Nova" w:hAnsi="Gill Sans Nova"/>
              </w:rPr>
              <w:t>organizations</w:t>
            </w:r>
            <w:r w:rsidRPr="004214CD">
              <w:rPr>
                <w:rFonts w:ascii="Gill Sans Nova" w:hAnsi="Gill Sans Nova"/>
                <w:spacing w:val="-17"/>
              </w:rPr>
              <w:t xml:space="preserve"> </w:t>
            </w:r>
            <w:r w:rsidRPr="004214CD">
              <w:rPr>
                <w:rFonts w:ascii="Gill Sans Nova" w:hAnsi="Gill Sans Nova"/>
              </w:rPr>
              <w:t>(SROs)</w:t>
            </w:r>
            <w:r w:rsidRPr="004214CD">
              <w:rPr>
                <w:rFonts w:ascii="Gill Sans Nova" w:hAnsi="Gill Sans Nova"/>
                <w:spacing w:val="-13"/>
              </w:rPr>
              <w:t xml:space="preserve"> </w:t>
            </w:r>
            <w:r w:rsidRPr="004214CD">
              <w:rPr>
                <w:rFonts w:ascii="Gill Sans Nova" w:hAnsi="Gill Sans Nova"/>
              </w:rPr>
              <w:t>of</w:t>
            </w:r>
            <w:r w:rsidRPr="004214CD">
              <w:rPr>
                <w:rFonts w:ascii="Gill Sans Nova" w:hAnsi="Gill Sans Nova"/>
                <w:spacing w:val="-13"/>
              </w:rPr>
              <w:t xml:space="preserve"> </w:t>
            </w:r>
            <w:r w:rsidRPr="004214CD">
              <w:rPr>
                <w:rFonts w:ascii="Gill Sans Nova" w:hAnsi="Gill Sans Nova"/>
              </w:rPr>
              <w:t>the</w:t>
            </w:r>
            <w:r w:rsidRPr="004214CD">
              <w:rPr>
                <w:rFonts w:ascii="Gill Sans Nova" w:hAnsi="Gill Sans Nova"/>
                <w:spacing w:val="-15"/>
              </w:rPr>
              <w:t xml:space="preserve"> </w:t>
            </w:r>
            <w:r w:rsidRPr="004214CD">
              <w:rPr>
                <w:rFonts w:ascii="Gill Sans Nova" w:hAnsi="Gill Sans Nova"/>
              </w:rPr>
              <w:t>securities</w:t>
            </w:r>
            <w:r w:rsidRPr="004214CD">
              <w:rPr>
                <w:rFonts w:ascii="Gill Sans Nova" w:hAnsi="Gill Sans Nova"/>
                <w:spacing w:val="-14"/>
              </w:rPr>
              <w:t xml:space="preserve"> </w:t>
            </w:r>
            <w:r w:rsidRPr="004214CD">
              <w:rPr>
                <w:rFonts w:ascii="Gill Sans Nova" w:hAnsi="Gill Sans Nova"/>
              </w:rPr>
              <w:t>industry</w:t>
            </w:r>
            <w:r w:rsidRPr="004214CD">
              <w:rPr>
                <w:rFonts w:ascii="Gill Sans Nova" w:hAnsi="Gill Sans Nova"/>
                <w:spacing w:val="-15"/>
              </w:rPr>
              <w:t xml:space="preserve"> </w:t>
            </w:r>
            <w:r w:rsidRPr="004214CD">
              <w:rPr>
                <w:rFonts w:ascii="Gill Sans Nova" w:hAnsi="Gill Sans Nova"/>
              </w:rPr>
              <w:t>have</w:t>
            </w:r>
            <w:r w:rsidRPr="004214CD">
              <w:rPr>
                <w:rFonts w:ascii="Gill Sans Nova" w:hAnsi="Gill Sans Nova"/>
                <w:spacing w:val="-13"/>
              </w:rPr>
              <w:t xml:space="preserve"> </w:t>
            </w:r>
            <w:r w:rsidRPr="004214CD">
              <w:rPr>
                <w:rFonts w:ascii="Gill Sans Nova" w:hAnsi="Gill Sans Nova"/>
              </w:rPr>
              <w:t>established</w:t>
            </w:r>
            <w:r w:rsidRPr="004214CD">
              <w:rPr>
                <w:rFonts w:ascii="Gill Sans Nova" w:hAnsi="Gill Sans Nova"/>
                <w:spacing w:val="-10"/>
              </w:rPr>
              <w:t xml:space="preserve"> </w:t>
            </w:r>
            <w:r w:rsidRPr="004214CD">
              <w:rPr>
                <w:rFonts w:ascii="Gill Sans Nova" w:hAnsi="Gill Sans Nova"/>
              </w:rPr>
              <w:t>rules</w:t>
            </w:r>
            <w:r w:rsidRPr="004214CD">
              <w:rPr>
                <w:rFonts w:ascii="Gill Sans Nova" w:hAnsi="Gill Sans Nova"/>
                <w:spacing w:val="-14"/>
              </w:rPr>
              <w:t xml:space="preserve"> </w:t>
            </w:r>
            <w:r w:rsidRPr="004214CD">
              <w:rPr>
                <w:rFonts w:ascii="Gill Sans Nova" w:hAnsi="Gill Sans Nova"/>
              </w:rPr>
              <w:t>addressing</w:t>
            </w:r>
            <w:r w:rsidRPr="004214CD">
              <w:rPr>
                <w:rFonts w:ascii="Gill Sans Nova" w:hAnsi="Gill Sans Nova"/>
                <w:spacing w:val="-10"/>
              </w:rPr>
              <w:t xml:space="preserve"> </w:t>
            </w:r>
            <w:r w:rsidRPr="004214CD">
              <w:rPr>
                <w:rFonts w:ascii="Gill Sans Nova" w:hAnsi="Gill Sans Nova"/>
              </w:rPr>
              <w:t>Continuing</w:t>
            </w:r>
            <w:r w:rsidRPr="004214CD">
              <w:rPr>
                <w:rFonts w:ascii="Gill Sans Nova" w:hAnsi="Gill Sans Nova"/>
                <w:spacing w:val="-13"/>
              </w:rPr>
              <w:t xml:space="preserve"> </w:t>
            </w:r>
            <w:r w:rsidRPr="004214CD">
              <w:rPr>
                <w:rFonts w:ascii="Gill Sans Nova" w:hAnsi="Gill Sans Nova"/>
              </w:rPr>
              <w:t>Education</w:t>
            </w:r>
            <w:r w:rsidRPr="004214CD">
              <w:rPr>
                <w:rFonts w:ascii="Gill Sans Nova" w:hAnsi="Gill Sans Nova"/>
                <w:spacing w:val="-10"/>
              </w:rPr>
              <w:t xml:space="preserve"> </w:t>
            </w:r>
            <w:r w:rsidRPr="004214CD">
              <w:rPr>
                <w:rFonts w:ascii="Gill Sans Nova" w:hAnsi="Gill Sans Nova"/>
              </w:rPr>
              <w:t>(CE)</w:t>
            </w:r>
            <w:r w:rsidRPr="004214CD">
              <w:rPr>
                <w:rFonts w:ascii="Gill Sans Nova" w:hAnsi="Gill Sans Nova"/>
                <w:spacing w:val="-16"/>
              </w:rPr>
              <w:t xml:space="preserve"> </w:t>
            </w:r>
            <w:r w:rsidRPr="004214CD">
              <w:rPr>
                <w:rFonts w:ascii="Gill Sans Nova" w:hAnsi="Gill Sans Nova"/>
              </w:rPr>
              <w:t>Firm</w:t>
            </w:r>
            <w:r w:rsidRPr="004214CD">
              <w:rPr>
                <w:rFonts w:ascii="Gill Sans Nova" w:hAnsi="Gill Sans Nova"/>
                <w:spacing w:val="-14"/>
              </w:rPr>
              <w:t xml:space="preserve"> </w:t>
            </w:r>
            <w:r w:rsidRPr="004214CD">
              <w:rPr>
                <w:rFonts w:ascii="Gill Sans Nova" w:hAnsi="Gill Sans Nova"/>
              </w:rPr>
              <w:t>Element programs</w:t>
            </w:r>
            <w:r w:rsidRPr="004214CD">
              <w:rPr>
                <w:rFonts w:ascii="Gill Sans Nova" w:hAnsi="Gill Sans Nova"/>
                <w:spacing w:val="-3"/>
              </w:rPr>
              <w:t xml:space="preserve"> </w:t>
            </w:r>
            <w:r w:rsidRPr="004214CD">
              <w:rPr>
                <w:rFonts w:ascii="Gill Sans Nova" w:hAnsi="Gill Sans Nova"/>
              </w:rPr>
              <w:t>that</w:t>
            </w:r>
            <w:r w:rsidRPr="004214CD">
              <w:rPr>
                <w:rFonts w:ascii="Gill Sans Nova" w:hAnsi="Gill Sans Nova"/>
                <w:spacing w:val="-8"/>
              </w:rPr>
              <w:t xml:space="preserve"> </w:t>
            </w:r>
            <w:r w:rsidRPr="004214CD">
              <w:rPr>
                <w:rFonts w:ascii="Gill Sans Nova" w:hAnsi="Gill Sans Nova"/>
              </w:rPr>
              <w:t>apply</w:t>
            </w:r>
            <w:r w:rsidRPr="004214CD">
              <w:rPr>
                <w:rFonts w:ascii="Gill Sans Nova" w:hAnsi="Gill Sans Nova"/>
                <w:spacing w:val="-6"/>
              </w:rPr>
              <w:t xml:space="preserve"> </w:t>
            </w:r>
            <w:r w:rsidRPr="004214CD">
              <w:rPr>
                <w:rFonts w:ascii="Gill Sans Nova" w:hAnsi="Gill Sans Nova"/>
              </w:rPr>
              <w:t>to member</w:t>
            </w:r>
            <w:r w:rsidRPr="004214CD">
              <w:rPr>
                <w:rFonts w:ascii="Gill Sans Nova" w:hAnsi="Gill Sans Nova"/>
                <w:spacing w:val="-4"/>
              </w:rPr>
              <w:t xml:space="preserve"> </w:t>
            </w:r>
            <w:r w:rsidRPr="004214CD">
              <w:rPr>
                <w:rFonts w:ascii="Gill Sans Nova" w:hAnsi="Gill Sans Nova"/>
              </w:rPr>
              <w:t>firms</w:t>
            </w:r>
            <w:r w:rsidRPr="004214CD">
              <w:rPr>
                <w:rFonts w:ascii="Gill Sans Nova" w:hAnsi="Gill Sans Nova"/>
                <w:spacing w:val="-4"/>
              </w:rPr>
              <w:t xml:space="preserve"> </w:t>
            </w:r>
            <w:r w:rsidRPr="004214CD">
              <w:rPr>
                <w:rFonts w:ascii="Gill Sans Nova" w:hAnsi="Gill Sans Nova"/>
              </w:rPr>
              <w:t>and their</w:t>
            </w:r>
            <w:r w:rsidRPr="004214CD">
              <w:rPr>
                <w:rFonts w:ascii="Gill Sans Nova" w:hAnsi="Gill Sans Nova"/>
                <w:spacing w:val="-4"/>
              </w:rPr>
              <w:t xml:space="preserve"> </w:t>
            </w:r>
            <w:r w:rsidRPr="004214CD">
              <w:rPr>
                <w:rFonts w:ascii="Gill Sans Nova" w:hAnsi="Gill Sans Nova"/>
              </w:rPr>
              <w:t>registered</w:t>
            </w:r>
            <w:r w:rsidRPr="004214CD">
              <w:rPr>
                <w:rFonts w:ascii="Gill Sans Nova" w:hAnsi="Gill Sans Nova"/>
                <w:spacing w:val="-1"/>
              </w:rPr>
              <w:t xml:space="preserve"> </w:t>
            </w:r>
            <w:r w:rsidRPr="004214CD">
              <w:rPr>
                <w:rFonts w:ascii="Gill Sans Nova" w:hAnsi="Gill Sans Nova"/>
              </w:rPr>
              <w:t>persons</w:t>
            </w:r>
            <w:r w:rsidRPr="004214CD">
              <w:rPr>
                <w:rFonts w:ascii="Gill Sans Nova" w:hAnsi="Gill Sans Nova"/>
                <w:spacing w:val="-9"/>
              </w:rPr>
              <w:t xml:space="preserve"> </w:t>
            </w:r>
            <w:r w:rsidRPr="004214CD">
              <w:rPr>
                <w:rFonts w:ascii="Gill Sans Nova" w:hAnsi="Gill Sans Nova"/>
              </w:rPr>
              <w:t>as</w:t>
            </w:r>
            <w:r w:rsidRPr="004214CD">
              <w:rPr>
                <w:rFonts w:ascii="Gill Sans Nova" w:hAnsi="Gill Sans Nova"/>
                <w:spacing w:val="-4"/>
              </w:rPr>
              <w:t xml:space="preserve"> </w:t>
            </w:r>
            <w:r w:rsidRPr="004214CD">
              <w:rPr>
                <w:rFonts w:ascii="Gill Sans Nova" w:hAnsi="Gill Sans Nova"/>
              </w:rPr>
              <w:t>defined</w:t>
            </w:r>
            <w:r w:rsidRPr="004214CD">
              <w:rPr>
                <w:rFonts w:ascii="Gill Sans Nova" w:hAnsi="Gill Sans Nova"/>
                <w:spacing w:val="-4"/>
              </w:rPr>
              <w:t xml:space="preserve"> </w:t>
            </w:r>
            <w:r w:rsidRPr="004214CD">
              <w:rPr>
                <w:rFonts w:ascii="Gill Sans Nova" w:hAnsi="Gill Sans Nova"/>
              </w:rPr>
              <w:t>by</w:t>
            </w:r>
            <w:r w:rsidRPr="004214CD">
              <w:rPr>
                <w:rFonts w:ascii="Gill Sans Nova" w:hAnsi="Gill Sans Nova"/>
                <w:spacing w:val="-4"/>
              </w:rPr>
              <w:t xml:space="preserve"> </w:t>
            </w:r>
            <w:r w:rsidRPr="004214CD">
              <w:rPr>
                <w:rFonts w:ascii="Gill Sans Nova" w:hAnsi="Gill Sans Nova"/>
              </w:rPr>
              <w:t>each</w:t>
            </w:r>
            <w:r w:rsidRPr="004214CD">
              <w:rPr>
                <w:rFonts w:ascii="Gill Sans Nova" w:hAnsi="Gill Sans Nova"/>
                <w:spacing w:val="-7"/>
              </w:rPr>
              <w:t xml:space="preserve"> </w:t>
            </w:r>
            <w:r w:rsidRPr="004214CD">
              <w:rPr>
                <w:rFonts w:ascii="Gill Sans Nova" w:hAnsi="Gill Sans Nova"/>
              </w:rPr>
              <w:t>of</w:t>
            </w:r>
            <w:r w:rsidRPr="004214CD">
              <w:rPr>
                <w:rFonts w:ascii="Gill Sans Nova" w:hAnsi="Gill Sans Nova"/>
                <w:spacing w:val="-3"/>
              </w:rPr>
              <w:t xml:space="preserve"> </w:t>
            </w:r>
            <w:r w:rsidRPr="004214CD">
              <w:rPr>
                <w:rFonts w:ascii="Gill Sans Nova" w:hAnsi="Gill Sans Nova"/>
              </w:rPr>
              <w:t>the</w:t>
            </w:r>
            <w:r w:rsidRPr="004214CD">
              <w:rPr>
                <w:rFonts w:ascii="Gill Sans Nova" w:hAnsi="Gill Sans Nova"/>
                <w:spacing w:val="-9"/>
              </w:rPr>
              <w:t xml:space="preserve"> </w:t>
            </w:r>
            <w:r w:rsidRPr="004214CD">
              <w:rPr>
                <w:rFonts w:ascii="Gill Sans Nova" w:hAnsi="Gill Sans Nova"/>
              </w:rPr>
              <w:t>SROs.</w:t>
            </w:r>
            <w:r w:rsidRPr="004214CD">
              <w:rPr>
                <w:rFonts w:ascii="Gill Sans Nova" w:hAnsi="Gill Sans Nova"/>
                <w:spacing w:val="-5"/>
              </w:rPr>
              <w:t xml:space="preserve"> </w:t>
            </w:r>
            <w:r w:rsidRPr="004214CD">
              <w:rPr>
                <w:rFonts w:ascii="Gill Sans Nova" w:hAnsi="Gill Sans Nova"/>
              </w:rPr>
              <w:t>Please</w:t>
            </w:r>
            <w:r w:rsidRPr="004214CD">
              <w:rPr>
                <w:rFonts w:ascii="Gill Sans Nova" w:hAnsi="Gill Sans Nova"/>
                <w:spacing w:val="-6"/>
              </w:rPr>
              <w:t xml:space="preserve"> </w:t>
            </w:r>
            <w:r w:rsidRPr="004214CD">
              <w:rPr>
                <w:rFonts w:ascii="Gill Sans Nova" w:hAnsi="Gill Sans Nova"/>
              </w:rPr>
              <w:t>reference</w:t>
            </w:r>
            <w:r w:rsidRPr="004214CD">
              <w:rPr>
                <w:rFonts w:ascii="Gill Sans Nova" w:hAnsi="Gill Sans Nova"/>
                <w:spacing w:val="-4"/>
              </w:rPr>
              <w:t xml:space="preserve"> </w:t>
            </w:r>
            <w:r w:rsidRPr="004214CD">
              <w:rPr>
                <w:rFonts w:ascii="Gill Sans Nova" w:hAnsi="Gill Sans Nova"/>
              </w:rPr>
              <w:t>the</w:t>
            </w:r>
            <w:r w:rsidRPr="004214CD">
              <w:rPr>
                <w:rFonts w:ascii="Gill Sans Nova" w:hAnsi="Gill Sans Nova"/>
                <w:spacing w:val="-5"/>
              </w:rPr>
              <w:t xml:space="preserve"> </w:t>
            </w:r>
            <w:r w:rsidRPr="004214CD">
              <w:rPr>
                <w:rFonts w:ascii="Gill Sans Nova" w:hAnsi="Gill Sans Nova"/>
              </w:rPr>
              <w:t>appropriate</w:t>
            </w:r>
            <w:r w:rsidRPr="004214CD">
              <w:rPr>
                <w:rFonts w:ascii="Gill Sans Nova" w:hAnsi="Gill Sans Nova"/>
                <w:spacing w:val="-4"/>
              </w:rPr>
              <w:t xml:space="preserve"> </w:t>
            </w:r>
            <w:r w:rsidRPr="004214CD">
              <w:rPr>
                <w:rFonts w:ascii="Gill Sans Nova" w:hAnsi="Gill Sans Nova"/>
              </w:rPr>
              <w:t>SRO</w:t>
            </w:r>
            <w:r w:rsidRPr="004214CD">
              <w:rPr>
                <w:rFonts w:ascii="Gill Sans Nova" w:hAnsi="Gill Sans Nova"/>
                <w:spacing w:val="-1"/>
              </w:rPr>
              <w:t xml:space="preserve"> </w:t>
            </w:r>
            <w:r w:rsidRPr="004214CD">
              <w:rPr>
                <w:rFonts w:ascii="Gill Sans Nova" w:hAnsi="Gill Sans Nova"/>
              </w:rPr>
              <w:t>rule applicable to the</w:t>
            </w:r>
            <w:r w:rsidRPr="004214CD">
              <w:rPr>
                <w:rFonts w:ascii="Gill Sans Nova" w:hAnsi="Gill Sans Nova"/>
                <w:spacing w:val="-4"/>
              </w:rPr>
              <w:t xml:space="preserve"> </w:t>
            </w:r>
            <w:r w:rsidRPr="004214CD">
              <w:rPr>
                <w:rFonts w:ascii="Gill Sans Nova" w:hAnsi="Gill Sans Nova"/>
              </w:rPr>
              <w:t>firm.</w:t>
            </w:r>
          </w:p>
        </w:tc>
      </w:tr>
    </w:tbl>
    <w:p w14:paraId="1CB6F730" w14:textId="77777777" w:rsidR="00374AE6" w:rsidRDefault="00374AE6">
      <w:pPr>
        <w:spacing w:before="6"/>
        <w:rPr>
          <w:i/>
          <w:sz w:val="24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1"/>
      </w:tblGrid>
      <w:tr w:rsidR="00374AE6" w14:paraId="4EF9BD88" w14:textId="77777777" w:rsidTr="00EB6FAC">
        <w:trPr>
          <w:trHeight w:val="314"/>
        </w:trPr>
        <w:tc>
          <w:tcPr>
            <w:tcW w:w="11381" w:type="dxa"/>
            <w:shd w:val="clear" w:color="auto" w:fill="09332C" w:themeFill="accent1"/>
          </w:tcPr>
          <w:p w14:paraId="3235A4A3" w14:textId="77777777" w:rsidR="00374AE6" w:rsidRPr="00F33C1A" w:rsidRDefault="001365B5">
            <w:pPr>
              <w:pStyle w:val="TableParagraph"/>
              <w:spacing w:before="9" w:line="285" w:lineRule="exact"/>
              <w:ind w:left="107"/>
              <w:rPr>
                <w:rFonts w:ascii="Gill Sans Nova" w:hAnsi="Gill Sans Nova"/>
                <w:b/>
                <w:color w:val="F8EDDB" w:themeColor="accent6"/>
                <w:sz w:val="24"/>
              </w:rPr>
            </w:pPr>
            <w:r w:rsidRPr="00F33C1A">
              <w:rPr>
                <w:rFonts w:ascii="Gill Sans Nova" w:hAnsi="Gill Sans Nova"/>
                <w:b/>
                <w:color w:val="F8EDDB" w:themeColor="accent6"/>
                <w:sz w:val="24"/>
              </w:rPr>
              <w:t>IDENTIFY COVERED REGISTERED PERSONS AND RELEVANT ASSOCIATED PERSONS</w:t>
            </w:r>
          </w:p>
        </w:tc>
      </w:tr>
      <w:tr w:rsidR="00374AE6" w14:paraId="4BCDE7F2" w14:textId="77777777">
        <w:trPr>
          <w:trHeight w:val="493"/>
        </w:trPr>
        <w:tc>
          <w:tcPr>
            <w:tcW w:w="11381" w:type="dxa"/>
          </w:tcPr>
          <w:p w14:paraId="5DE8ECB6" w14:textId="77777777" w:rsidR="00374AE6" w:rsidRPr="004214CD" w:rsidRDefault="001365B5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i/>
                <w:sz w:val="20"/>
              </w:rPr>
            </w:pPr>
            <w:r w:rsidRPr="004214CD">
              <w:rPr>
                <w:rFonts w:ascii="Gill Sans Nova" w:hAnsi="Gill Sans Nova"/>
                <w:sz w:val="24"/>
              </w:rPr>
              <w:t xml:space="preserve">Business Units </w:t>
            </w:r>
            <w:r w:rsidRPr="004214CD">
              <w:rPr>
                <w:rFonts w:ascii="Gill Sans Nova" w:hAnsi="Gill Sans Nova"/>
                <w:i/>
                <w:sz w:val="18"/>
                <w:szCs w:val="20"/>
              </w:rPr>
              <w:t>(may include but are not limited to revenue-generating unit, client-facing unit, etc.)</w:t>
            </w:r>
          </w:p>
        </w:tc>
      </w:tr>
      <w:tr w:rsidR="00374AE6" w14:paraId="26A74FBF" w14:textId="77777777">
        <w:trPr>
          <w:trHeight w:val="494"/>
        </w:trPr>
        <w:tc>
          <w:tcPr>
            <w:tcW w:w="11381" w:type="dxa"/>
          </w:tcPr>
          <w:p w14:paraId="354802FC" w14:textId="77777777" w:rsidR="00374AE6" w:rsidRPr="004214CD" w:rsidRDefault="001365B5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i/>
                <w:sz w:val="20"/>
              </w:rPr>
            </w:pPr>
            <w:r w:rsidRPr="004214CD">
              <w:rPr>
                <w:rFonts w:ascii="Gill Sans Nova" w:hAnsi="Gill Sans Nova"/>
                <w:sz w:val="24"/>
              </w:rPr>
              <w:t xml:space="preserve">Support Units </w:t>
            </w:r>
            <w:r w:rsidRPr="004214CD">
              <w:rPr>
                <w:rFonts w:ascii="Gill Sans Nova" w:hAnsi="Gill Sans Nova"/>
                <w:i/>
                <w:sz w:val="18"/>
                <w:szCs w:val="20"/>
              </w:rPr>
              <w:t>(may include but are not limited to Operations, Compliance, Finance, Technology, etc.)</w:t>
            </w:r>
          </w:p>
        </w:tc>
      </w:tr>
    </w:tbl>
    <w:p w14:paraId="7BAB0FD3" w14:textId="77777777" w:rsidR="00374AE6" w:rsidRDefault="00374AE6">
      <w:pPr>
        <w:spacing w:before="9"/>
        <w:rPr>
          <w:i/>
          <w:sz w:val="23"/>
        </w:r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3"/>
      </w:tblGrid>
      <w:tr w:rsidR="00374AE6" w14:paraId="2DE853EE" w14:textId="77777777" w:rsidTr="00EB6FAC">
        <w:trPr>
          <w:trHeight w:val="630"/>
        </w:trPr>
        <w:tc>
          <w:tcPr>
            <w:tcW w:w="11393" w:type="dxa"/>
            <w:shd w:val="clear" w:color="auto" w:fill="09332C" w:themeFill="accent1"/>
          </w:tcPr>
          <w:p w14:paraId="6C8B0FC1" w14:textId="56D4FEB5" w:rsidR="00374AE6" w:rsidRPr="00F33C1A" w:rsidRDefault="001365B5" w:rsidP="004214CD">
            <w:pPr>
              <w:pStyle w:val="TableParagraph"/>
              <w:spacing w:before="15" w:line="266" w:lineRule="auto"/>
              <w:ind w:left="93" w:right="3744"/>
              <w:rPr>
                <w:rFonts w:ascii="Gill Sans Nova" w:hAnsi="Gill Sans Nova"/>
                <w:b/>
                <w:color w:val="F8EDDB" w:themeColor="accent6"/>
                <w:sz w:val="23"/>
              </w:rPr>
            </w:pPr>
            <w:r w:rsidRPr="00F33C1A">
              <w:rPr>
                <w:rFonts w:ascii="Gill Sans Nova" w:hAnsi="Gill Sans Nova"/>
                <w:b/>
                <w:color w:val="F8EDDB" w:themeColor="accent6"/>
                <w:sz w:val="23"/>
              </w:rPr>
              <w:t>FIRM-SPECIFIC TOPICS (applicable to all areas and job</w:t>
            </w:r>
            <w:r w:rsidR="004214CD" w:rsidRPr="00F33C1A">
              <w:rPr>
                <w:rFonts w:ascii="Gill Sans Nova" w:hAnsi="Gill Sans Nova"/>
                <w:b/>
                <w:color w:val="F8EDDB" w:themeColor="accent6"/>
                <w:sz w:val="23"/>
              </w:rPr>
              <w:t xml:space="preserve"> f</w:t>
            </w:r>
            <w:r w:rsidRPr="00F33C1A">
              <w:rPr>
                <w:rFonts w:ascii="Gill Sans Nova" w:hAnsi="Gill Sans Nova"/>
                <w:b/>
                <w:color w:val="F8EDDB" w:themeColor="accent6"/>
                <w:sz w:val="23"/>
              </w:rPr>
              <w:t>unctions) Suggested themes may include but are not limited to the following:</w:t>
            </w:r>
          </w:p>
        </w:tc>
      </w:tr>
      <w:tr w:rsidR="00374AE6" w14:paraId="1AE82B41" w14:textId="77777777">
        <w:trPr>
          <w:trHeight w:val="892"/>
        </w:trPr>
        <w:tc>
          <w:tcPr>
            <w:tcW w:w="11393" w:type="dxa"/>
          </w:tcPr>
          <w:p w14:paraId="44E88BD5" w14:textId="77777777" w:rsidR="00374AE6" w:rsidRPr="004214CD" w:rsidRDefault="001365B5">
            <w:pPr>
              <w:pStyle w:val="TableParagraph"/>
              <w:spacing w:line="249" w:lineRule="exact"/>
              <w:rPr>
                <w:rFonts w:ascii="Gill Sans Nova" w:hAnsi="Gill Sans Nova"/>
                <w:i/>
                <w:sz w:val="18"/>
                <w:szCs w:val="20"/>
              </w:rPr>
            </w:pPr>
            <w:r w:rsidRPr="00F33C1A">
              <w:rPr>
                <w:rFonts w:ascii="Gill Sans Nova" w:hAnsi="Gill Sans Nova"/>
                <w:sz w:val="24"/>
              </w:rPr>
              <w:t>Applicable Securities Laws, Rules and Regulations</w:t>
            </w:r>
            <w:r w:rsidRPr="004214CD">
              <w:rPr>
                <w:rFonts w:ascii="Gill Sans Nova" w:hAnsi="Gill Sans Nova"/>
                <w:b/>
                <w:sz w:val="23"/>
              </w:rPr>
              <w:t xml:space="preserve"> </w:t>
            </w:r>
            <w:r w:rsidRPr="004214CD">
              <w:rPr>
                <w:rFonts w:ascii="Gill Sans Nova" w:hAnsi="Gill Sans Nova"/>
                <w:i/>
                <w:sz w:val="18"/>
                <w:szCs w:val="20"/>
              </w:rPr>
              <w:t>(Communications with the Public, Conflicts of Interests, Cybersecurity,</w:t>
            </w:r>
          </w:p>
          <w:p w14:paraId="284930F7" w14:textId="77777777" w:rsidR="00374AE6" w:rsidRPr="004214CD" w:rsidRDefault="001365B5">
            <w:pPr>
              <w:pStyle w:val="TableParagraph"/>
              <w:spacing w:before="22" w:line="264" w:lineRule="auto"/>
              <w:ind w:right="520" w:hanging="1"/>
              <w:rPr>
                <w:rFonts w:ascii="Gill Sans Nova" w:hAnsi="Gill Sans Nova"/>
                <w:i/>
                <w:sz w:val="20"/>
              </w:rPr>
            </w:pPr>
            <w:r w:rsidRPr="004214CD">
              <w:rPr>
                <w:rFonts w:ascii="Gill Sans Nova" w:hAnsi="Gill Sans Nova"/>
                <w:i/>
                <w:sz w:val="18"/>
                <w:szCs w:val="20"/>
              </w:rPr>
              <w:t>Elderly Exploitation, Political Contributions, Information Barriers, Suitability/Best Interest, Code of Ethics, OFAC/ABC/AML, Personal Trading, Outside Business Activities, Private Investments)</w:t>
            </w:r>
          </w:p>
        </w:tc>
      </w:tr>
      <w:tr w:rsidR="00374AE6" w14:paraId="6772CC95" w14:textId="77777777">
        <w:trPr>
          <w:trHeight w:val="498"/>
        </w:trPr>
        <w:tc>
          <w:tcPr>
            <w:tcW w:w="11393" w:type="dxa"/>
          </w:tcPr>
          <w:p w14:paraId="57D026F1" w14:textId="77777777" w:rsidR="00374AE6" w:rsidRPr="004214CD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b/>
                <w:sz w:val="23"/>
              </w:rPr>
            </w:pPr>
            <w:r w:rsidRPr="00F33C1A">
              <w:rPr>
                <w:rFonts w:ascii="Gill Sans Nova" w:hAnsi="Gill Sans Nova"/>
                <w:sz w:val="24"/>
              </w:rPr>
              <w:t>Changes in Organizational Structure, Business Model, Supervision Framework</w:t>
            </w:r>
          </w:p>
        </w:tc>
      </w:tr>
      <w:tr w:rsidR="00374AE6" w14:paraId="5EB011E4" w14:textId="77777777">
        <w:trPr>
          <w:trHeight w:val="498"/>
        </w:trPr>
        <w:tc>
          <w:tcPr>
            <w:tcW w:w="11393" w:type="dxa"/>
          </w:tcPr>
          <w:p w14:paraId="3A1F5296" w14:textId="77777777" w:rsidR="00374AE6" w:rsidRPr="004214CD" w:rsidRDefault="001365B5">
            <w:pPr>
              <w:pStyle w:val="TableParagraph"/>
              <w:spacing w:before="10"/>
              <w:rPr>
                <w:rFonts w:ascii="Gill Sans Nova" w:hAnsi="Gill Sans Nova"/>
                <w:i/>
                <w:sz w:val="20"/>
              </w:rPr>
            </w:pPr>
            <w:r w:rsidRPr="00F33C1A">
              <w:rPr>
                <w:rFonts w:ascii="Gill Sans Nova" w:hAnsi="Gill Sans Nova"/>
                <w:sz w:val="24"/>
              </w:rPr>
              <w:t>Firm Policies and Procedures</w:t>
            </w:r>
            <w:r w:rsidRPr="004214CD">
              <w:rPr>
                <w:rFonts w:ascii="Gill Sans Nova" w:hAnsi="Gill Sans Nova"/>
                <w:b/>
                <w:sz w:val="23"/>
              </w:rPr>
              <w:t xml:space="preserve"> </w:t>
            </w:r>
            <w:r w:rsidRPr="004214CD">
              <w:rPr>
                <w:rFonts w:ascii="Gill Sans Nova" w:hAnsi="Gill Sans Nova"/>
                <w:i/>
                <w:sz w:val="18"/>
                <w:szCs w:val="20"/>
              </w:rPr>
              <w:t>(new, current and updated)</w:t>
            </w:r>
          </w:p>
        </w:tc>
      </w:tr>
      <w:tr w:rsidR="00374AE6" w14:paraId="7D4374C2" w14:textId="77777777">
        <w:trPr>
          <w:trHeight w:val="503"/>
        </w:trPr>
        <w:tc>
          <w:tcPr>
            <w:tcW w:w="11393" w:type="dxa"/>
          </w:tcPr>
          <w:p w14:paraId="23AB4A05" w14:textId="77777777" w:rsidR="00374AE6" w:rsidRPr="004214CD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b/>
                <w:sz w:val="23"/>
              </w:rPr>
            </w:pPr>
            <w:r w:rsidRPr="00F33C1A">
              <w:rPr>
                <w:rFonts w:ascii="Gill Sans Nova" w:hAnsi="Gill Sans Nova"/>
                <w:sz w:val="24"/>
              </w:rPr>
              <w:t>Industry Trends Related to Firm Business Model</w:t>
            </w:r>
          </w:p>
        </w:tc>
      </w:tr>
    </w:tbl>
    <w:p w14:paraId="1FE3399A" w14:textId="77777777" w:rsidR="00374AE6" w:rsidRDefault="00374AE6">
      <w:pPr>
        <w:rPr>
          <w:i/>
          <w:sz w:val="20"/>
        </w:rPr>
      </w:pPr>
    </w:p>
    <w:p w14:paraId="6B259DFD" w14:textId="77777777" w:rsidR="00374AE6" w:rsidRDefault="00374AE6">
      <w:pPr>
        <w:spacing w:before="5" w:after="1"/>
        <w:rPr>
          <w:i/>
          <w:sz w:val="15"/>
        </w:r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3"/>
      </w:tblGrid>
      <w:tr w:rsidR="00374AE6" w14:paraId="0EEC48D7" w14:textId="77777777" w:rsidTr="00EB6FAC">
        <w:trPr>
          <w:trHeight w:val="632"/>
        </w:trPr>
        <w:tc>
          <w:tcPr>
            <w:tcW w:w="11393" w:type="dxa"/>
            <w:shd w:val="clear" w:color="auto" w:fill="09332C" w:themeFill="accent1"/>
          </w:tcPr>
          <w:p w14:paraId="1D2AD2F8" w14:textId="77777777" w:rsidR="00374AE6" w:rsidRPr="00F33C1A" w:rsidRDefault="001365B5" w:rsidP="004214CD">
            <w:pPr>
              <w:pStyle w:val="TableParagraph"/>
              <w:spacing w:before="8" w:line="254" w:lineRule="auto"/>
              <w:ind w:left="93" w:right="2061"/>
              <w:rPr>
                <w:rFonts w:ascii="Gill Sans Nova" w:hAnsi="Gill Sans Nova"/>
                <w:b/>
                <w:color w:val="F8EDDB" w:themeColor="accent6"/>
                <w:sz w:val="23"/>
              </w:rPr>
            </w:pPr>
            <w:r w:rsidRPr="00F33C1A">
              <w:rPr>
                <w:rFonts w:ascii="Gill Sans Nova" w:hAnsi="Gill Sans Nova"/>
                <w:b/>
                <w:color w:val="F8EDDB" w:themeColor="accent6"/>
                <w:sz w:val="23"/>
              </w:rPr>
              <w:t>BUSINESS-SPECIFIC TOPICS</w:t>
            </w:r>
            <w:r w:rsidRPr="00F33C1A">
              <w:rPr>
                <w:rFonts w:ascii="Gill Sans Nova" w:hAnsi="Gill Sans Nova"/>
                <w:b/>
                <w:color w:val="F8EDDB" w:themeColor="accent6"/>
                <w:szCs w:val="20"/>
              </w:rPr>
              <w:t xml:space="preserve"> (applicable to a particular business or support area) </w:t>
            </w:r>
            <w:r w:rsidRPr="00F33C1A">
              <w:rPr>
                <w:rFonts w:ascii="Gill Sans Nova" w:hAnsi="Gill Sans Nova"/>
                <w:b/>
                <w:color w:val="F8EDDB" w:themeColor="accent6"/>
                <w:sz w:val="23"/>
              </w:rPr>
              <w:t>Suggested themes may include but are not limited to the following:</w:t>
            </w:r>
          </w:p>
        </w:tc>
      </w:tr>
      <w:tr w:rsidR="00374AE6" w14:paraId="08840FF7" w14:textId="77777777">
        <w:trPr>
          <w:trHeight w:val="467"/>
        </w:trPr>
        <w:tc>
          <w:tcPr>
            <w:tcW w:w="11393" w:type="dxa"/>
          </w:tcPr>
          <w:p w14:paraId="19B3244B" w14:textId="77777777" w:rsidR="00374AE6" w:rsidRPr="004214CD" w:rsidRDefault="001365B5">
            <w:pPr>
              <w:pStyle w:val="TableParagraph"/>
              <w:spacing w:line="251" w:lineRule="exact"/>
              <w:ind w:left="196"/>
              <w:rPr>
                <w:rFonts w:ascii="Gill Sans Nova" w:hAnsi="Gill Sans Nova"/>
                <w:i/>
                <w:sz w:val="20"/>
              </w:rPr>
            </w:pPr>
            <w:r w:rsidRPr="00F33C1A">
              <w:rPr>
                <w:rFonts w:ascii="Gill Sans Nova" w:hAnsi="Gill Sans Nova"/>
                <w:sz w:val="24"/>
              </w:rPr>
              <w:t xml:space="preserve">Product </w:t>
            </w:r>
            <w:r w:rsidRPr="004214CD">
              <w:rPr>
                <w:rFonts w:ascii="Gill Sans Nova" w:hAnsi="Gill Sans Nova"/>
                <w:i/>
                <w:sz w:val="18"/>
                <w:szCs w:val="20"/>
              </w:rPr>
              <w:t>(new, modified, high risk)</w:t>
            </w:r>
          </w:p>
        </w:tc>
      </w:tr>
      <w:tr w:rsidR="00374AE6" w14:paraId="3D41E2BA" w14:textId="77777777">
        <w:trPr>
          <w:trHeight w:val="498"/>
        </w:trPr>
        <w:tc>
          <w:tcPr>
            <w:tcW w:w="11393" w:type="dxa"/>
          </w:tcPr>
          <w:p w14:paraId="4D652B7B" w14:textId="77777777" w:rsidR="00374AE6" w:rsidRPr="004214CD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i/>
                <w:sz w:val="23"/>
              </w:rPr>
            </w:pPr>
            <w:r w:rsidRPr="00F33C1A">
              <w:rPr>
                <w:rFonts w:ascii="Gill Sans Nova" w:hAnsi="Gill Sans Nova"/>
                <w:sz w:val="24"/>
              </w:rPr>
              <w:t>Function</w:t>
            </w:r>
            <w:r w:rsidRPr="004214CD">
              <w:rPr>
                <w:rFonts w:ascii="Gill Sans Nova" w:hAnsi="Gill Sans Nova"/>
                <w:i/>
                <w:sz w:val="18"/>
                <w:szCs w:val="20"/>
              </w:rPr>
              <w:t xml:space="preserve"> (sales, trading, deal execution, research, operations)</w:t>
            </w:r>
          </w:p>
        </w:tc>
      </w:tr>
      <w:tr w:rsidR="00374AE6" w14:paraId="5FE0CA15" w14:textId="77777777">
        <w:trPr>
          <w:trHeight w:val="498"/>
        </w:trPr>
        <w:tc>
          <w:tcPr>
            <w:tcW w:w="11393" w:type="dxa"/>
          </w:tcPr>
          <w:p w14:paraId="23A3D9A1" w14:textId="77777777" w:rsidR="00374AE6" w:rsidRPr="00F33C1A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sz w:val="24"/>
              </w:rPr>
            </w:pPr>
            <w:r w:rsidRPr="00F33C1A">
              <w:rPr>
                <w:rFonts w:ascii="Gill Sans Nova" w:hAnsi="Gill Sans Nova"/>
                <w:sz w:val="24"/>
              </w:rPr>
              <w:t xml:space="preserve">Applicable Securities Laws, Rules and Regulations </w:t>
            </w:r>
            <w:r w:rsidRPr="00F33C1A">
              <w:rPr>
                <w:rFonts w:ascii="Gill Sans Nova" w:hAnsi="Gill Sans Nova"/>
                <w:i/>
                <w:sz w:val="18"/>
                <w:szCs w:val="20"/>
              </w:rPr>
              <w:t>(new, modified, existing)</w:t>
            </w:r>
          </w:p>
        </w:tc>
      </w:tr>
      <w:tr w:rsidR="00374AE6" w14:paraId="42D3657B" w14:textId="77777777">
        <w:trPr>
          <w:trHeight w:val="496"/>
        </w:trPr>
        <w:tc>
          <w:tcPr>
            <w:tcW w:w="11393" w:type="dxa"/>
          </w:tcPr>
          <w:p w14:paraId="4DB5643D" w14:textId="77777777" w:rsidR="00374AE6" w:rsidRPr="00F33C1A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sz w:val="24"/>
              </w:rPr>
            </w:pPr>
            <w:r w:rsidRPr="00F33C1A">
              <w:rPr>
                <w:rFonts w:ascii="Gill Sans Nova" w:hAnsi="Gill Sans Nova"/>
                <w:sz w:val="24"/>
              </w:rPr>
              <w:t>Supervision Trends or Emerging Risks Identified</w:t>
            </w:r>
          </w:p>
        </w:tc>
      </w:tr>
      <w:tr w:rsidR="00374AE6" w14:paraId="7ECD7A71" w14:textId="77777777">
        <w:trPr>
          <w:trHeight w:val="503"/>
        </w:trPr>
        <w:tc>
          <w:tcPr>
            <w:tcW w:w="11393" w:type="dxa"/>
          </w:tcPr>
          <w:p w14:paraId="42E8FA0C" w14:textId="77777777" w:rsidR="00374AE6" w:rsidRPr="00F33C1A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sz w:val="24"/>
              </w:rPr>
            </w:pPr>
            <w:r w:rsidRPr="00F33C1A">
              <w:rPr>
                <w:rFonts w:ascii="Gill Sans Nova" w:hAnsi="Gill Sans Nova"/>
                <w:sz w:val="24"/>
              </w:rPr>
              <w:t>Persistent Surveillance/Monitoring Exceptions</w:t>
            </w:r>
          </w:p>
        </w:tc>
      </w:tr>
      <w:tr w:rsidR="00374AE6" w14:paraId="3032FCA3" w14:textId="77777777">
        <w:trPr>
          <w:trHeight w:val="503"/>
        </w:trPr>
        <w:tc>
          <w:tcPr>
            <w:tcW w:w="11393" w:type="dxa"/>
          </w:tcPr>
          <w:p w14:paraId="2BDF4A52" w14:textId="77777777" w:rsidR="00374AE6" w:rsidRPr="00F33C1A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sz w:val="24"/>
              </w:rPr>
            </w:pPr>
            <w:r w:rsidRPr="00F33C1A">
              <w:rPr>
                <w:rFonts w:ascii="Gill Sans Nova" w:hAnsi="Gill Sans Nova"/>
                <w:sz w:val="24"/>
              </w:rPr>
              <w:t>Operational Risk and Control Assessment Findings and Remediations</w:t>
            </w:r>
          </w:p>
        </w:tc>
      </w:tr>
      <w:tr w:rsidR="00374AE6" w14:paraId="477F876A" w14:textId="77777777">
        <w:trPr>
          <w:trHeight w:val="647"/>
        </w:trPr>
        <w:tc>
          <w:tcPr>
            <w:tcW w:w="11393" w:type="dxa"/>
          </w:tcPr>
          <w:p w14:paraId="2F12D2AE" w14:textId="77777777" w:rsidR="00374AE6" w:rsidRPr="00F33C1A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sz w:val="24"/>
              </w:rPr>
            </w:pPr>
            <w:r w:rsidRPr="00F33C1A">
              <w:rPr>
                <w:rFonts w:ascii="Gill Sans Nova" w:hAnsi="Gill Sans Nova"/>
                <w:sz w:val="24"/>
              </w:rPr>
              <w:t>Operational Risk Events, Current Events, and Near Misses*</w:t>
            </w:r>
          </w:p>
          <w:p w14:paraId="00293269" w14:textId="77777777" w:rsidR="00374AE6" w:rsidRPr="00F33C1A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sz w:val="24"/>
              </w:rPr>
            </w:pPr>
            <w:r w:rsidRPr="00F33C1A">
              <w:rPr>
                <w:rFonts w:ascii="Gill Sans Nova" w:hAnsi="Gill Sans Nova"/>
                <w:i/>
                <w:sz w:val="18"/>
                <w:szCs w:val="20"/>
              </w:rPr>
              <w:t>*Incidents that could have led to monetary loss</w:t>
            </w:r>
          </w:p>
        </w:tc>
      </w:tr>
      <w:tr w:rsidR="00374AE6" w14:paraId="393918AB" w14:textId="77777777">
        <w:trPr>
          <w:trHeight w:val="501"/>
        </w:trPr>
        <w:tc>
          <w:tcPr>
            <w:tcW w:w="11393" w:type="dxa"/>
          </w:tcPr>
          <w:p w14:paraId="027AB9DE" w14:textId="77777777" w:rsidR="00374AE6" w:rsidRPr="00F33C1A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sz w:val="24"/>
              </w:rPr>
            </w:pPr>
            <w:r w:rsidRPr="00F33C1A">
              <w:rPr>
                <w:rFonts w:ascii="Gill Sans Nova" w:hAnsi="Gill Sans Nova"/>
                <w:sz w:val="24"/>
              </w:rPr>
              <w:t>New or Modified Technology or Vendor Tools</w:t>
            </w:r>
          </w:p>
        </w:tc>
      </w:tr>
      <w:tr w:rsidR="00374AE6" w14:paraId="2BD2C5DA" w14:textId="77777777">
        <w:trPr>
          <w:trHeight w:val="498"/>
        </w:trPr>
        <w:tc>
          <w:tcPr>
            <w:tcW w:w="11393" w:type="dxa"/>
          </w:tcPr>
          <w:p w14:paraId="5E74399B" w14:textId="77777777" w:rsidR="00374AE6" w:rsidRPr="00F33C1A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sz w:val="24"/>
              </w:rPr>
            </w:pPr>
            <w:r w:rsidRPr="00F33C1A">
              <w:rPr>
                <w:rFonts w:ascii="Gill Sans Nova" w:hAnsi="Gill Sans Nova"/>
                <w:sz w:val="24"/>
              </w:rPr>
              <w:t>Internal Audit Findings</w:t>
            </w:r>
          </w:p>
        </w:tc>
      </w:tr>
    </w:tbl>
    <w:p w14:paraId="4FFD0E2B" w14:textId="77777777" w:rsidR="00374AE6" w:rsidRDefault="00374AE6">
      <w:pPr>
        <w:rPr>
          <w:sz w:val="23"/>
        </w:rPr>
        <w:sectPr w:rsidR="00374AE6">
          <w:headerReference w:type="default" r:id="rId6"/>
          <w:footerReference w:type="default" r:id="rId7"/>
          <w:type w:val="continuous"/>
          <w:pgSz w:w="12240" w:h="15840"/>
          <w:pgMar w:top="2060" w:right="280" w:bottom="1140" w:left="260" w:header="193" w:footer="946" w:gutter="0"/>
          <w:pgNumType w:start="1"/>
          <w:cols w:space="720"/>
        </w:sectPr>
      </w:pPr>
    </w:p>
    <w:p w14:paraId="3A155685" w14:textId="77777777" w:rsidR="00374AE6" w:rsidRDefault="00374AE6">
      <w:pPr>
        <w:rPr>
          <w:i/>
          <w:sz w:val="20"/>
        </w:rPr>
      </w:pPr>
    </w:p>
    <w:p w14:paraId="5FA5106B" w14:textId="77777777" w:rsidR="00374AE6" w:rsidRDefault="00374AE6">
      <w:pPr>
        <w:spacing w:before="7"/>
        <w:rPr>
          <w:i/>
          <w:sz w:val="12"/>
        </w:rPr>
      </w:pPr>
    </w:p>
    <w:tbl>
      <w:tblPr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8"/>
      </w:tblGrid>
      <w:tr w:rsidR="00374AE6" w14:paraId="58048629" w14:textId="77777777" w:rsidTr="00EB6FAC">
        <w:trPr>
          <w:trHeight w:val="623"/>
        </w:trPr>
        <w:tc>
          <w:tcPr>
            <w:tcW w:w="11398" w:type="dxa"/>
            <w:shd w:val="clear" w:color="auto" w:fill="09332C" w:themeFill="accent1"/>
          </w:tcPr>
          <w:p w14:paraId="5A73CC7C" w14:textId="77777777" w:rsidR="00374AE6" w:rsidRPr="00F33C1A" w:rsidRDefault="001365B5">
            <w:pPr>
              <w:pStyle w:val="TableParagraph"/>
              <w:spacing w:before="27"/>
              <w:ind w:left="160"/>
              <w:rPr>
                <w:rFonts w:ascii="Gill Sans Nova" w:hAnsi="Gill Sans Nova"/>
                <w:b/>
                <w:color w:val="F8EDDB" w:themeColor="accent6"/>
                <w:sz w:val="24"/>
              </w:rPr>
            </w:pPr>
            <w:r w:rsidRPr="00F33C1A">
              <w:rPr>
                <w:rFonts w:ascii="Gill Sans Nova" w:hAnsi="Gill Sans Nova"/>
                <w:b/>
                <w:color w:val="F8EDDB" w:themeColor="accent6"/>
                <w:sz w:val="24"/>
              </w:rPr>
              <w:t>REGULATORY DRIVERS</w:t>
            </w:r>
          </w:p>
          <w:p w14:paraId="2778954E" w14:textId="77777777" w:rsidR="00374AE6" w:rsidRPr="004214CD" w:rsidRDefault="001365B5">
            <w:pPr>
              <w:pStyle w:val="TableParagraph"/>
              <w:spacing w:before="17"/>
              <w:ind w:left="160"/>
              <w:rPr>
                <w:rFonts w:ascii="Gill Sans Nova" w:hAnsi="Gill Sans Nova"/>
                <w:b/>
                <w:sz w:val="24"/>
              </w:rPr>
            </w:pPr>
            <w:r w:rsidRPr="00F33C1A">
              <w:rPr>
                <w:rFonts w:ascii="Gill Sans Nova" w:hAnsi="Gill Sans Nova"/>
                <w:b/>
                <w:color w:val="F8EDDB" w:themeColor="accent6"/>
                <w:sz w:val="24"/>
              </w:rPr>
              <w:t>Suggested themes may include but are not limited to the following:</w:t>
            </w:r>
          </w:p>
        </w:tc>
      </w:tr>
      <w:tr w:rsidR="00374AE6" w14:paraId="2F91D638" w14:textId="77777777">
        <w:trPr>
          <w:trHeight w:val="664"/>
        </w:trPr>
        <w:tc>
          <w:tcPr>
            <w:tcW w:w="11398" w:type="dxa"/>
          </w:tcPr>
          <w:p w14:paraId="409BAEE8" w14:textId="77777777" w:rsidR="00374AE6" w:rsidRPr="004214CD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b/>
                <w:sz w:val="23"/>
              </w:rPr>
            </w:pPr>
            <w:r w:rsidRPr="00F33C1A">
              <w:rPr>
                <w:rFonts w:ascii="Gill Sans Nova" w:hAnsi="Gill Sans Nova"/>
                <w:sz w:val="24"/>
              </w:rPr>
              <w:t>Annual SRO Priorities Letters, Rule Interpretations, Regulatory Notices, Information Notices/Circulars, SEC Guidance</w:t>
            </w:r>
          </w:p>
        </w:tc>
      </w:tr>
      <w:tr w:rsidR="00374AE6" w14:paraId="46C39127" w14:textId="77777777">
        <w:trPr>
          <w:trHeight w:val="433"/>
        </w:trPr>
        <w:tc>
          <w:tcPr>
            <w:tcW w:w="11398" w:type="dxa"/>
          </w:tcPr>
          <w:p w14:paraId="08D3F751" w14:textId="77777777" w:rsidR="00374AE6" w:rsidRPr="004214CD" w:rsidRDefault="001365B5">
            <w:pPr>
              <w:pStyle w:val="TableParagraph"/>
              <w:spacing w:before="15"/>
              <w:ind w:left="160"/>
              <w:rPr>
                <w:rFonts w:ascii="Gill Sans Nova" w:hAnsi="Gill Sans Nova"/>
                <w:b/>
                <w:sz w:val="23"/>
              </w:rPr>
            </w:pPr>
            <w:r w:rsidRPr="00F33C1A">
              <w:rPr>
                <w:rFonts w:ascii="Gill Sans Nova" w:hAnsi="Gill Sans Nova"/>
                <w:sz w:val="24"/>
              </w:rPr>
              <w:t xml:space="preserve">Notices from Clearing Firms </w:t>
            </w:r>
            <w:r w:rsidRPr="00F33C1A">
              <w:rPr>
                <w:rFonts w:ascii="Gill Sans Nova" w:hAnsi="Gill Sans Nova"/>
                <w:i/>
                <w:sz w:val="18"/>
                <w:szCs w:val="20"/>
              </w:rPr>
              <w:t>(with respect to regulatory items)</w:t>
            </w:r>
          </w:p>
        </w:tc>
      </w:tr>
      <w:tr w:rsidR="00374AE6" w14:paraId="57B28356" w14:textId="77777777">
        <w:trPr>
          <w:trHeight w:val="378"/>
        </w:trPr>
        <w:tc>
          <w:tcPr>
            <w:tcW w:w="11398" w:type="dxa"/>
          </w:tcPr>
          <w:p w14:paraId="57A45DE2" w14:textId="77777777" w:rsidR="00374AE6" w:rsidRPr="00F33C1A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sz w:val="24"/>
              </w:rPr>
            </w:pPr>
            <w:r w:rsidRPr="00F33C1A">
              <w:rPr>
                <w:rFonts w:ascii="Gill Sans Nova" w:hAnsi="Gill Sans Nova"/>
                <w:sz w:val="24"/>
              </w:rPr>
              <w:t>Regulatory Enforcement Actions and Disciplinary Cases</w:t>
            </w:r>
          </w:p>
        </w:tc>
      </w:tr>
      <w:tr w:rsidR="00374AE6" w14:paraId="2BC9F399" w14:textId="77777777">
        <w:trPr>
          <w:trHeight w:val="424"/>
        </w:trPr>
        <w:tc>
          <w:tcPr>
            <w:tcW w:w="11398" w:type="dxa"/>
          </w:tcPr>
          <w:p w14:paraId="76656B15" w14:textId="77777777" w:rsidR="00374AE6" w:rsidRPr="00F33C1A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sz w:val="24"/>
              </w:rPr>
            </w:pPr>
            <w:r w:rsidRPr="00F33C1A">
              <w:rPr>
                <w:rFonts w:ascii="Gill Sans Nova" w:hAnsi="Gill Sans Nova"/>
                <w:sz w:val="24"/>
              </w:rPr>
              <w:t>Regulatory Findings, Disciplinary Actions, Examination and Interpretive Guidance</w:t>
            </w:r>
          </w:p>
        </w:tc>
      </w:tr>
      <w:tr w:rsidR="00374AE6" w14:paraId="0DAE5622" w14:textId="77777777">
        <w:trPr>
          <w:trHeight w:val="424"/>
        </w:trPr>
        <w:tc>
          <w:tcPr>
            <w:tcW w:w="11398" w:type="dxa"/>
          </w:tcPr>
          <w:p w14:paraId="7D930EDE" w14:textId="77777777" w:rsidR="00374AE6" w:rsidRPr="00F33C1A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sz w:val="24"/>
              </w:rPr>
            </w:pPr>
            <w:r w:rsidRPr="00F33C1A">
              <w:rPr>
                <w:rFonts w:ascii="Gill Sans Nova" w:hAnsi="Gill Sans Nova"/>
                <w:sz w:val="24"/>
              </w:rPr>
              <w:t>Regulatory Inquiries and Sweep Letters</w:t>
            </w:r>
          </w:p>
        </w:tc>
      </w:tr>
      <w:tr w:rsidR="00374AE6" w14:paraId="341EC4ED" w14:textId="77777777">
        <w:trPr>
          <w:trHeight w:val="424"/>
        </w:trPr>
        <w:tc>
          <w:tcPr>
            <w:tcW w:w="11398" w:type="dxa"/>
          </w:tcPr>
          <w:p w14:paraId="742B1703" w14:textId="77777777" w:rsidR="00374AE6" w:rsidRPr="00F33C1A" w:rsidRDefault="001365B5" w:rsidP="00F33C1A">
            <w:pPr>
              <w:pStyle w:val="TableParagraph"/>
              <w:spacing w:line="292" w:lineRule="exact"/>
              <w:ind w:left="107"/>
              <w:rPr>
                <w:rFonts w:ascii="Gill Sans Nova" w:hAnsi="Gill Sans Nova"/>
                <w:sz w:val="24"/>
              </w:rPr>
            </w:pPr>
            <w:r w:rsidRPr="00F33C1A">
              <w:rPr>
                <w:rFonts w:ascii="Gill Sans Nova" w:hAnsi="Gill Sans Nova"/>
                <w:sz w:val="24"/>
              </w:rPr>
              <w:t>Firm-specific Exam Findings</w:t>
            </w:r>
          </w:p>
        </w:tc>
      </w:tr>
      <w:tr w:rsidR="00374AE6" w14:paraId="08EAF02C" w14:textId="77777777">
        <w:trPr>
          <w:trHeight w:val="424"/>
        </w:trPr>
        <w:tc>
          <w:tcPr>
            <w:tcW w:w="11398" w:type="dxa"/>
          </w:tcPr>
          <w:p w14:paraId="1B75953C" w14:textId="77777777" w:rsidR="00374AE6" w:rsidRDefault="00374AE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80C8580" w14:textId="77777777" w:rsidR="00374AE6" w:rsidRDefault="00374AE6">
      <w:pPr>
        <w:rPr>
          <w:i/>
          <w:sz w:val="20"/>
        </w:rPr>
      </w:pPr>
    </w:p>
    <w:p w14:paraId="536A5E35" w14:textId="6CD9F635" w:rsidR="00374AE6" w:rsidRDefault="00374AE6">
      <w:pPr>
        <w:rPr>
          <w:i/>
          <w:sz w:val="12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1402"/>
      </w:tblGrid>
      <w:tr w:rsidR="00F33C1A" w14:paraId="080BB43C" w14:textId="77777777" w:rsidTr="00F33C1A">
        <w:tc>
          <w:tcPr>
            <w:tcW w:w="11628" w:type="dxa"/>
            <w:shd w:val="clear" w:color="auto" w:fill="09332C" w:themeFill="accent1"/>
          </w:tcPr>
          <w:p w14:paraId="374909DA" w14:textId="47A31ABC" w:rsidR="00F33C1A" w:rsidRPr="00137A39" w:rsidRDefault="00F33C1A" w:rsidP="00137A39">
            <w:pPr>
              <w:pStyle w:val="TableParagraph"/>
              <w:spacing w:before="27"/>
              <w:ind w:left="72"/>
              <w:rPr>
                <w:rFonts w:ascii="Gill Sans Nova" w:hAnsi="Gill Sans Nova"/>
                <w:b/>
                <w:bCs/>
                <w:iCs/>
                <w:color w:val="F8EDDB" w:themeColor="accent6"/>
                <w:sz w:val="12"/>
              </w:rPr>
            </w:pPr>
            <w:r w:rsidRPr="00137A39">
              <w:rPr>
                <w:rFonts w:ascii="Gill Sans Nova" w:hAnsi="Gill Sans Nova"/>
                <w:b/>
                <w:bCs/>
                <w:iCs/>
                <w:color w:val="F8EDDB" w:themeColor="accent6"/>
                <w:sz w:val="28"/>
                <w:szCs w:val="48"/>
              </w:rPr>
              <w:t>Approved and reviewed by:</w:t>
            </w:r>
          </w:p>
        </w:tc>
      </w:tr>
      <w:tr w:rsidR="00F33C1A" w14:paraId="6AEB74C1" w14:textId="77777777" w:rsidTr="00F33C1A">
        <w:tc>
          <w:tcPr>
            <w:tcW w:w="11628" w:type="dxa"/>
            <w:vAlign w:val="center"/>
          </w:tcPr>
          <w:p w14:paraId="440E1293" w14:textId="77777777" w:rsidR="00F33C1A" w:rsidRPr="00F33C1A" w:rsidRDefault="00F33C1A" w:rsidP="00F33C1A">
            <w:pPr>
              <w:spacing w:before="120"/>
              <w:rPr>
                <w:rFonts w:ascii="Gill Sans Nova" w:hAnsi="Gill Sans Nova"/>
                <w:i/>
                <w:sz w:val="32"/>
                <w:szCs w:val="32"/>
              </w:rPr>
            </w:pPr>
          </w:p>
        </w:tc>
      </w:tr>
    </w:tbl>
    <w:p w14:paraId="7779E1AE" w14:textId="77777777" w:rsidR="00F33C1A" w:rsidRDefault="00F33C1A">
      <w:pPr>
        <w:rPr>
          <w:i/>
          <w:sz w:val="12"/>
        </w:rPr>
      </w:pPr>
    </w:p>
    <w:sectPr w:rsidR="00F33C1A">
      <w:pgSz w:w="12240" w:h="15840"/>
      <w:pgMar w:top="2060" w:right="280" w:bottom="1140" w:left="260" w:header="193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428C" w14:textId="77777777" w:rsidR="001365B5" w:rsidRDefault="001365B5">
      <w:r>
        <w:separator/>
      </w:r>
    </w:p>
  </w:endnote>
  <w:endnote w:type="continuationSeparator" w:id="0">
    <w:p w14:paraId="5FE3870E" w14:textId="77777777" w:rsidR="001365B5" w:rsidRDefault="0013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1FD0" w14:textId="5E2D311A" w:rsidR="00374AE6" w:rsidRPr="002449F2" w:rsidRDefault="00374AE6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4F7B" w14:textId="77777777" w:rsidR="001365B5" w:rsidRDefault="001365B5">
      <w:r>
        <w:separator/>
      </w:r>
    </w:p>
  </w:footnote>
  <w:footnote w:type="continuationSeparator" w:id="0">
    <w:p w14:paraId="62858B77" w14:textId="77777777" w:rsidR="001365B5" w:rsidRDefault="00136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A78D" w14:textId="092A8568" w:rsidR="00374AE6" w:rsidRDefault="003D28A0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49240A" wp14:editId="7EC29066">
              <wp:simplePos x="0" y="0"/>
              <wp:positionH relativeFrom="margin">
                <wp:align>center</wp:align>
              </wp:positionH>
              <wp:positionV relativeFrom="page">
                <wp:posOffset>707390</wp:posOffset>
              </wp:positionV>
              <wp:extent cx="3950335" cy="618490"/>
              <wp:effectExtent l="0" t="0" r="0" b="0"/>
              <wp:wrapNone/>
              <wp:docPr id="638884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335" cy="618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11664" w14:textId="0281499F" w:rsidR="00374AE6" w:rsidRPr="00EB6FAC" w:rsidRDefault="001365B5" w:rsidP="00EB6FAC">
                          <w:pPr>
                            <w:spacing w:before="4"/>
                            <w:ind w:left="90"/>
                            <w:jc w:val="center"/>
                            <w:rPr>
                              <w:rFonts w:ascii="Gill Sans Nova" w:hAnsi="Gill Sans Nova" w:cs="Open Sans Light"/>
                              <w:bCs/>
                              <w:color w:val="09332C" w:themeColor="accent1"/>
                              <w:sz w:val="36"/>
                            </w:rPr>
                          </w:pPr>
                          <w:r w:rsidRPr="00EB6FAC">
                            <w:rPr>
                              <w:rFonts w:ascii="Gill Sans Nova" w:hAnsi="Gill Sans Nova" w:cs="Open Sans Light"/>
                              <w:bCs/>
                              <w:color w:val="09332C" w:themeColor="accent1"/>
                              <w:sz w:val="36"/>
                            </w:rPr>
                            <w:t>Guide to</w:t>
                          </w:r>
                          <w:r w:rsidR="00EB6FAC" w:rsidRPr="00EB6FAC">
                            <w:rPr>
                              <w:rFonts w:ascii="Gill Sans Nova" w:hAnsi="Gill Sans Nova" w:cs="Open Sans Light"/>
                              <w:bCs/>
                              <w:color w:val="09332C" w:themeColor="accent1"/>
                              <w:sz w:val="36"/>
                            </w:rPr>
                            <w:t xml:space="preserve"> </w:t>
                          </w:r>
                          <w:r w:rsidRPr="00EB6FAC">
                            <w:rPr>
                              <w:rFonts w:ascii="Gill Sans Nova" w:hAnsi="Gill Sans Nova" w:cs="Open Sans Light"/>
                              <w:bCs/>
                              <w:color w:val="09332C" w:themeColor="accent1"/>
                              <w:sz w:val="36"/>
                            </w:rPr>
                            <w:t>Firm Element</w:t>
                          </w:r>
                          <w:r w:rsidR="00EB6FAC" w:rsidRPr="00EB6FAC">
                            <w:rPr>
                              <w:rFonts w:ascii="Gill Sans Nova" w:hAnsi="Gill Sans Nova" w:cs="Open Sans Light"/>
                              <w:bCs/>
                              <w:color w:val="09332C" w:themeColor="accent1"/>
                              <w:sz w:val="36"/>
                            </w:rPr>
                            <w:br/>
                          </w:r>
                          <w:r w:rsidRPr="00EB6FAC">
                            <w:rPr>
                              <w:rFonts w:ascii="Gill Sans Nova" w:hAnsi="Gill Sans Nova" w:cs="Open Sans Light"/>
                              <w:bCs/>
                              <w:color w:val="09332C" w:themeColor="accent1"/>
                              <w:sz w:val="36"/>
                            </w:rPr>
                            <w:t>Continuing Education Programs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924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55.7pt;width:311.05pt;height:48.7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" filled="f" stroked="f">
              <v:textbox inset="0,0,0,0">
                <w:txbxContent>
                  <w:p w14:paraId="6A411664" w14:textId="0281499F" w:rsidR="00374AE6" w:rsidRPr="00EB6FAC" w:rsidRDefault="001365B5" w:rsidP="00EB6FAC">
                    <w:pPr>
                      <w:spacing w:before="4"/>
                      <w:ind w:left="90"/>
                      <w:jc w:val="center"/>
                      <w:rPr>
                        <w:rFonts w:ascii="Gill Sans Nova" w:hAnsi="Gill Sans Nova" w:cs="Open Sans Light"/>
                        <w:bCs/>
                        <w:color w:val="09332C" w:themeColor="accent1"/>
                        <w:sz w:val="36"/>
                      </w:rPr>
                    </w:pPr>
                    <w:r w:rsidRPr="00EB6FAC">
                      <w:rPr>
                        <w:rFonts w:ascii="Gill Sans Nova" w:hAnsi="Gill Sans Nova" w:cs="Open Sans Light"/>
                        <w:bCs/>
                        <w:color w:val="09332C" w:themeColor="accent1"/>
                        <w:sz w:val="36"/>
                      </w:rPr>
                      <w:t>Guide to</w:t>
                    </w:r>
                    <w:r w:rsidR="00EB6FAC" w:rsidRPr="00EB6FAC">
                      <w:rPr>
                        <w:rFonts w:ascii="Gill Sans Nova" w:hAnsi="Gill Sans Nova" w:cs="Open Sans Light"/>
                        <w:bCs/>
                        <w:color w:val="09332C" w:themeColor="accent1"/>
                        <w:sz w:val="36"/>
                      </w:rPr>
                      <w:t xml:space="preserve"> </w:t>
                    </w:r>
                    <w:r w:rsidRPr="00EB6FAC">
                      <w:rPr>
                        <w:rFonts w:ascii="Gill Sans Nova" w:hAnsi="Gill Sans Nova" w:cs="Open Sans Light"/>
                        <w:bCs/>
                        <w:color w:val="09332C" w:themeColor="accent1"/>
                        <w:sz w:val="36"/>
                      </w:rPr>
                      <w:t>Firm Element</w:t>
                    </w:r>
                    <w:r w:rsidR="00EB6FAC" w:rsidRPr="00EB6FAC">
                      <w:rPr>
                        <w:rFonts w:ascii="Gill Sans Nova" w:hAnsi="Gill Sans Nova" w:cs="Open Sans Light"/>
                        <w:bCs/>
                        <w:color w:val="09332C" w:themeColor="accent1"/>
                        <w:sz w:val="36"/>
                      </w:rPr>
                      <w:br/>
                    </w:r>
                    <w:r w:rsidRPr="00EB6FAC">
                      <w:rPr>
                        <w:rFonts w:ascii="Gill Sans Nova" w:hAnsi="Gill Sans Nova" w:cs="Open Sans Light"/>
                        <w:bCs/>
                        <w:color w:val="09332C" w:themeColor="accent1"/>
                        <w:sz w:val="36"/>
                      </w:rPr>
                      <w:t>Continuing Education Programs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B6FAC">
      <w:rPr>
        <w:noProof/>
      </w:rPr>
      <w:drawing>
        <wp:anchor distT="0" distB="0" distL="114300" distR="114300" simplePos="0" relativeHeight="251657216" behindDoc="1" locked="0" layoutInCell="1" allowOverlap="1" wp14:anchorId="5EBD9B5A" wp14:editId="3BE43995">
          <wp:simplePos x="0" y="0"/>
          <wp:positionH relativeFrom="margin">
            <wp:align>center</wp:align>
          </wp:positionH>
          <wp:positionV relativeFrom="paragraph">
            <wp:posOffset>84826</wp:posOffset>
          </wp:positionV>
          <wp:extent cx="3685636" cy="589072"/>
          <wp:effectExtent l="0" t="0" r="0" b="0"/>
          <wp:wrapTight wrapText="bothSides">
            <wp:wrapPolygon edited="0">
              <wp:start x="782" y="0"/>
              <wp:lineTo x="0" y="4893"/>
              <wp:lineTo x="0" y="16078"/>
              <wp:lineTo x="782" y="20971"/>
              <wp:lineTo x="2456" y="20971"/>
              <wp:lineTo x="21436" y="18175"/>
              <wp:lineTo x="21436" y="13981"/>
              <wp:lineTo x="21325" y="3495"/>
              <wp:lineTo x="20208" y="2796"/>
              <wp:lineTo x="2568" y="0"/>
              <wp:lineTo x="782" y="0"/>
            </wp:wrapPolygon>
          </wp:wrapTight>
          <wp:docPr id="1348888013" name="Picture 1" descr="A green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888013" name="Picture 1" descr="A green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5636" cy="589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 [3204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E6"/>
    <w:rsid w:val="001365B5"/>
    <w:rsid w:val="00137A39"/>
    <w:rsid w:val="002449F2"/>
    <w:rsid w:val="00374AE6"/>
    <w:rsid w:val="003D28A0"/>
    <w:rsid w:val="004214CD"/>
    <w:rsid w:val="00577652"/>
    <w:rsid w:val="006522DE"/>
    <w:rsid w:val="006F7B07"/>
    <w:rsid w:val="00741C41"/>
    <w:rsid w:val="00833691"/>
    <w:rsid w:val="009B4176"/>
    <w:rsid w:val="00E14254"/>
    <w:rsid w:val="00EB6FAC"/>
    <w:rsid w:val="00F3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4]"/>
    </o:shapedefaults>
    <o:shapelayout v:ext="edit">
      <o:idmap v:ext="edit" data="2"/>
    </o:shapelayout>
  </w:shapeDefaults>
  <w:decimalSymbol w:val="."/>
  <w:listSeparator w:val=","/>
  <w14:docId w14:val="17F51500"/>
  <w15:docId w15:val="{365DF6B2-A942-4CF1-9EB6-A22325EC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8"/>
    </w:pPr>
  </w:style>
  <w:style w:type="paragraph" w:styleId="Header">
    <w:name w:val="header"/>
    <w:basedOn w:val="Normal"/>
    <w:link w:val="HeaderChar"/>
    <w:uiPriority w:val="99"/>
    <w:unhideWhenUsed/>
    <w:rsid w:val="00EB6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FA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B6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FAC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42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CE Council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9332C"/>
      </a:accent1>
      <a:accent2>
        <a:srgbClr val="01595A"/>
      </a:accent2>
      <a:accent3>
        <a:srgbClr val="E67300"/>
      </a:accent3>
      <a:accent4>
        <a:srgbClr val="FFA74E"/>
      </a:accent4>
      <a:accent5>
        <a:srgbClr val="F7DFB9"/>
      </a:accent5>
      <a:accent6>
        <a:srgbClr val="F8EDD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2082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FINRA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Leberis, Jamie</dc:creator>
  <cp:lastModifiedBy>Simpkins, Andrea</cp:lastModifiedBy>
  <cp:revision>2</cp:revision>
  <dcterms:created xsi:type="dcterms:W3CDTF">2026-02-03T17:15:00Z</dcterms:created>
  <dcterms:modified xsi:type="dcterms:W3CDTF">2026-02-03T17:15:00Z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2025-12-10T00:00:00Z</vt:filetime>
  </property>
</Properties>
</file>